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F3758D" w:rsidRDefault="00564129" w14:paraId="4F8816A7" wp14:textId="77777777">
      <w:pPr>
        <w:jc w:val="center"/>
        <w:rPr>
          <w:b/>
          <w:sz w:val="36"/>
          <w:szCs w:val="36"/>
        </w:rPr>
      </w:pPr>
      <w:r>
        <w:rPr>
          <w:b/>
          <w:sz w:val="36"/>
          <w:szCs w:val="36"/>
        </w:rPr>
        <w:t>La “cuesta de enero” se extenderá más allá del primer mes de 2025: ¿debería pedir un crédito digital?</w:t>
      </w:r>
    </w:p>
    <w:p xmlns:wp14="http://schemas.microsoft.com/office/word/2010/wordml" w:rsidR="00F3758D" w:rsidRDefault="00564129" w14:paraId="4CC85EF8" wp14:textId="6A1141CD">
      <w:pPr>
        <w:jc w:val="both"/>
        <w:rPr>
          <w:color w:val="467886"/>
          <w:u w:val="single"/>
        </w:rPr>
      </w:pPr>
      <w:r w:rsidR="00564129">
        <w:rPr/>
        <w:t xml:space="preserve">CIUDAD DE MÉXICO. </w:t>
      </w:r>
      <w:r w:rsidR="0B365198">
        <w:rPr/>
        <w:t xml:space="preserve">14 </w:t>
      </w:r>
      <w:r w:rsidR="00564129">
        <w:rPr/>
        <w:t xml:space="preserve">de enero de 2025.- El inicio del año nuevo trae consigo uno de los períodos financieros más desafiantes para millones de familias mexicanas: la temida "cuesta de enero". Este fenómeno, que se repite cada año, cobra mayor relevancia este 2025 debido a una serie de factores económicos que agravan la situación. </w:t>
      </w:r>
      <w:r>
        <w:br/>
      </w:r>
      <w:r>
        <w:br/>
      </w:r>
      <w:r w:rsidR="00564129">
        <w:rPr/>
        <w:t xml:space="preserve">De acuerdo con la </w:t>
      </w:r>
      <w:hyperlink r:id="R1142e6b2128a4487">
        <w:r w:rsidRPr="13F656F9" w:rsidR="00564129">
          <w:rPr>
            <w:color w:val="467886"/>
            <w:u w:val="single"/>
          </w:rPr>
          <w:t>Alianza Nacional de Pequeños Comerciantes (Anpec),</w:t>
        </w:r>
      </w:hyperlink>
      <w:r w:rsidR="00564129">
        <w:rPr/>
        <w:t xml:space="preserve"> se estima que este año la cuesta de enero podría extenderse más allá del primer mes, como resultado de una inflación acumulada del 4.76% al cierre de 2024, según datos del </w:t>
      </w:r>
      <w:hyperlink r:id="R20ad389af3c24e85">
        <w:r w:rsidRPr="13F656F9" w:rsidR="00564129">
          <w:rPr>
            <w:color w:val="467886"/>
            <w:u w:val="single"/>
          </w:rPr>
          <w:t>Inegi.</w:t>
        </w:r>
      </w:hyperlink>
    </w:p>
    <w:p xmlns:wp14="http://schemas.microsoft.com/office/word/2010/wordml" w:rsidR="00F3758D" w:rsidRDefault="00564129" w14:paraId="3D63C3DF" wp14:textId="77777777">
      <w:pPr>
        <w:jc w:val="both"/>
      </w:pPr>
      <w:r>
        <w:t xml:space="preserve">El origen de esta crisis estacional es multifactorial. A los gastos desmedidos de las festividades decembrinas se suma el impacto del alza de precios en bienes y servicios, incluidos los productos de la canasta básica. Además, el incremento del 4.5% al IEPS ha encarecido combustibles, afectando los costos del transporte y de bienes de consumo. Esto deriva en que, según </w:t>
      </w:r>
      <w:hyperlink r:id="rId10">
        <w:r>
          <w:rPr>
            <w:color w:val="467886"/>
            <w:u w:val="single"/>
          </w:rPr>
          <w:t>Planning Quant,</w:t>
        </w:r>
      </w:hyperlink>
      <w:r>
        <w:t xml:space="preserve"> el 70% de los hogares mexicanos enfrentan afectaciones directas por la "cuesta de enero”.</w:t>
      </w:r>
    </w:p>
    <w:p xmlns:wp14="http://schemas.microsoft.com/office/word/2010/wordml" w:rsidR="00F3758D" w:rsidRDefault="00564129" w14:paraId="4FAAFDB1" wp14:textId="77777777">
      <w:pPr>
        <w:numPr>
          <w:ilvl w:val="0"/>
          <w:numId w:val="1"/>
        </w:numPr>
        <w:pBdr>
          <w:top w:val="nil"/>
          <w:left w:val="nil"/>
          <w:bottom w:val="nil"/>
          <w:right w:val="nil"/>
          <w:between w:val="nil"/>
        </w:pBdr>
        <w:jc w:val="both"/>
        <w:rPr>
          <w:color w:val="000000"/>
          <w:sz w:val="28"/>
          <w:szCs w:val="28"/>
        </w:rPr>
      </w:pPr>
      <w:r>
        <w:rPr>
          <w:color w:val="000000"/>
          <w:sz w:val="28"/>
          <w:szCs w:val="28"/>
        </w:rPr>
        <w:t>Crédito digital: una alternativa viable en tiempos desafiante</w:t>
      </w:r>
      <w:r>
        <w:rPr>
          <w:color w:val="000000"/>
        </w:rPr>
        <w:t xml:space="preserve"> </w:t>
      </w:r>
    </w:p>
    <w:p xmlns:wp14="http://schemas.microsoft.com/office/word/2010/wordml" w:rsidR="00F3758D" w:rsidRDefault="00564129" w14:paraId="41EA51C3" wp14:textId="77777777">
      <w:pPr>
        <w:jc w:val="both"/>
      </w:pPr>
      <w:r>
        <w:t>En este panorama de incertidumbre económica, el acceso a una línea de crédito digital se posiciona como una solución crucial para enfrentar la cuesta de enero. A diferencia de los créditos tradicionales, estas alternativas digitales ofrecen rapidez, accesibilidad y procesos simplificados que pueden marcar la diferencia en momentos críticos.</w:t>
      </w:r>
    </w:p>
    <w:p xmlns:wp14="http://schemas.microsoft.com/office/word/2010/wordml" w:rsidR="00F3758D" w:rsidRDefault="00564129" w14:paraId="27F5AC3F" wp14:textId="77777777">
      <w:pPr>
        <w:jc w:val="both"/>
      </w:pPr>
      <w:r>
        <w:t xml:space="preserve">Empresas del sector, como PayJoy, han desarrollado modelos innovadores para facilitar el acceso al financiamiento. Por ejemplo, su tecnología patentada permite a los usuarios solicitar préstamos de manera ágil y segura a través de una aplicación móvil. </w:t>
      </w:r>
    </w:p>
    <w:p xmlns:wp14="http://schemas.microsoft.com/office/word/2010/wordml" w:rsidR="00F3758D" w:rsidRDefault="00564129" w14:paraId="01831666" wp14:textId="77777777">
      <w:pPr>
        <w:jc w:val="both"/>
      </w:pPr>
      <w:r>
        <w:t>El proceso incluye la verificación de identidad mediante una selfie de los clientes de PayJoy que hayan tenido un buen historial, todo esto, realizado dentro de la plataforma empleando algoritmos avanzados que analizan el perfil y la capacidad de pago en minutos. Esta tecnología propia evita la dependencia de terceros, optimizando tiempos y reduciendo riesgos. El modelo también ofrece flexibilidad en la entrega del dinero: una vez aprobado el crédito, los usuarios pueden disponer de los recursos en menos de</w:t>
      </w:r>
      <w:r>
        <w:t xml:space="preserve"> 24 horas y retirarlos en sucursales de instituciones como BBVA. También pueden solicitar una tarjeta PayJoy, respaldada por Mastercard, para hacer un uso más eficiente de su préstamo.</w:t>
      </w:r>
    </w:p>
    <w:p xmlns:wp14="http://schemas.microsoft.com/office/word/2010/wordml" w:rsidR="00F3758D" w:rsidRDefault="00564129" w14:paraId="4F777902" wp14:textId="77777777">
      <w:pPr>
        <w:jc w:val="both"/>
      </w:pPr>
      <w:r>
        <w:t xml:space="preserve">Además, este sistema considera a aquellos que no tienen acceso a crédito formal; sobre todo cuando consideramos que apenas el 31% de los adultos en México tienen acceso a este tipo de instrumentos financieros, según la </w:t>
      </w:r>
      <w:hyperlink r:id="rId11">
        <w:r>
          <w:rPr>
            <w:color w:val="467886"/>
            <w:u w:val="single"/>
          </w:rPr>
          <w:t>Encuesta Nacional de Inclusión Financiera</w:t>
        </w:r>
      </w:hyperlink>
      <w:r>
        <w:t>. Además, el 43% carece de cualquier tipo de financiamiento, lo que limita gravemente su capacidad para sortear crisis financieras como la cuesta de enero.</w:t>
      </w:r>
    </w:p>
    <w:p xmlns:wp14="http://schemas.microsoft.com/office/word/2010/wordml" w:rsidR="00F3758D" w:rsidRDefault="00564129" w14:paraId="12E916E5" wp14:textId="77777777">
      <w:pPr>
        <w:jc w:val="both"/>
      </w:pPr>
      <w:r>
        <w:t>La cuesta de enero no es solo un recordatorio para evitar los gastos excesivos de las fiestas decembrinas, sino también una oportunidad para reflexionar sobre la importancia de la planificación y el acceso a herramientas que permitan enfrentar estos desafíos. En un país con alta desigualdad en la inclusión financiera, las líneas de crédito digital no solo representan una alternativa viable, sino una pieza clave para construir un futuro más estable para millones de mexicanos.</w:t>
      </w:r>
    </w:p>
    <w:p xmlns:wp14="http://schemas.microsoft.com/office/word/2010/wordml" w:rsidR="00F3758D" w:rsidRDefault="00F3758D" w14:paraId="672A6659" wp14:textId="77777777">
      <w:pPr>
        <w:jc w:val="both"/>
      </w:pPr>
    </w:p>
    <w:p xmlns:wp14="http://schemas.microsoft.com/office/word/2010/wordml" w:rsidR="00F3758D" w:rsidRDefault="00564129" w14:paraId="74001EDD" wp14:textId="77777777">
      <w:pPr>
        <w:spacing w:line="240" w:lineRule="auto"/>
        <w:jc w:val="center"/>
        <w:rPr>
          <w:rFonts w:ascii="Arial" w:hAnsi="Arial" w:eastAsia="Arial" w:cs="Arial"/>
          <w:color w:val="000000"/>
        </w:rPr>
      </w:pPr>
      <w:r>
        <w:rPr>
          <w:rFonts w:ascii="Arial" w:hAnsi="Arial" w:eastAsia="Arial" w:cs="Arial"/>
          <w:color w:val="000000"/>
        </w:rPr>
        <w:t>-o0o-</w:t>
      </w:r>
    </w:p>
    <w:p xmlns:wp14="http://schemas.microsoft.com/office/word/2010/wordml" w:rsidR="00F3758D" w:rsidRDefault="00564129" w14:paraId="2047D199" wp14:textId="77777777">
      <w:pPr>
        <w:spacing w:line="240" w:lineRule="auto"/>
        <w:jc w:val="both"/>
        <w:rPr>
          <w:rFonts w:ascii="Arial" w:hAnsi="Arial" w:eastAsia="Arial" w:cs="Arial"/>
          <w:color w:val="000000"/>
          <w:sz w:val="18"/>
          <w:szCs w:val="18"/>
        </w:rPr>
      </w:pPr>
      <w:r>
        <w:rPr>
          <w:rFonts w:ascii="Arial" w:hAnsi="Arial" w:eastAsia="Arial" w:cs="Arial"/>
          <w:b/>
          <w:color w:val="000000"/>
          <w:sz w:val="18"/>
          <w:szCs w:val="18"/>
        </w:rPr>
        <w:t>Sobre PayJoy</w:t>
      </w:r>
      <w:r>
        <w:br/>
      </w:r>
      <w:r>
        <w:rPr>
          <w:rFonts w:ascii="Arial" w:hAnsi="Arial" w:eastAsia="Arial" w:cs="Arial"/>
          <w:color w:val="000000"/>
          <w:sz w:val="18"/>
          <w:szCs w:val="18"/>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w:t>
      </w:r>
      <w:r>
        <w:rPr>
          <w:rFonts w:ascii="Arial" w:hAnsi="Arial" w:eastAsia="Arial" w:cs="Arial"/>
          <w:color w:val="000000"/>
          <w:sz w:val="18"/>
          <w:szCs w:val="18"/>
        </w:rPr>
        <w:t>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xmlns:wp14="http://schemas.microsoft.com/office/word/2010/wordml" w:rsidR="00F3758D" w:rsidRDefault="00F3758D" w14:paraId="0A37501D" wp14:textId="77777777">
      <w:pPr>
        <w:jc w:val="both"/>
      </w:pPr>
    </w:p>
    <w:sectPr w:rsidR="00F3758D">
      <w:headerReference w:type="default" r:id="rId12"/>
      <w:footerReference w:type="default" r:id="rId13"/>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564129" w:rsidRDefault="00564129" w14:paraId="0D0B940D" wp14:textId="77777777">
      <w:pPr>
        <w:spacing w:after="0" w:line="240" w:lineRule="auto"/>
      </w:pPr>
      <w:r>
        <w:separator/>
      </w:r>
    </w:p>
  </w:endnote>
  <w:endnote w:type="continuationSeparator" w:id="0">
    <w:p xmlns:wp14="http://schemas.microsoft.com/office/word/2010/wordml" w:rsidR="00564129" w:rsidRDefault="00564129"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w:fontKey="{726F747A-AEFB-4B3C-B613-755A9584A4D4}" r:id="rId1"/>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embedRegular w:fontKey="{5E148C57-A9F9-42B0-B46D-472B0B85BCC6}" r:id="rId2"/>
    <w:embedBold w:fontKey="{825A93F0-8CD4-4B25-BECD-ED8F0BC5C9F1}" r:id="rId3"/>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w:fontKey="{F9A2EDBE-2775-44C3-B210-0B11B8F64F1D}" r:id="rId4"/>
    <w:embedItalic w:fontKey="{07D9E6BA-6AFB-4EC1-84E7-DC2D36C797DD}" r:id="rId5"/>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embedRegular w:fontKey="{10D7035F-6193-4A2A-B1E8-3027E31BFBA4}" r:id="rId6"/>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3758D" w:rsidRDefault="00F3758D" w14:paraId="5DAB6C7B" wp14:textId="77777777">
    <w:pPr>
      <w:widowControl w:val="0"/>
      <w:pBdr>
        <w:top w:val="nil"/>
        <w:left w:val="nil"/>
        <w:bottom w:val="nil"/>
        <w:right w:val="nil"/>
        <w:between w:val="nil"/>
      </w:pBdr>
      <w:spacing w:after="0" w:line="276" w:lineRule="auto"/>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xmlns:wp14="http://schemas.microsoft.com/office/word/2010/wordml" w:rsidR="00F3758D" w14:paraId="02EB378F" wp14:textId="77777777">
      <w:trPr>
        <w:trHeight w:val="300"/>
      </w:trPr>
      <w:tc>
        <w:tcPr>
          <w:tcW w:w="3005" w:type="dxa"/>
        </w:tcPr>
        <w:p w:rsidR="00F3758D" w:rsidRDefault="00F3758D" w14:paraId="6A05A809" wp14:textId="77777777">
          <w:pPr>
            <w:pBdr>
              <w:top w:val="nil"/>
              <w:left w:val="nil"/>
              <w:bottom w:val="nil"/>
              <w:right w:val="nil"/>
              <w:between w:val="nil"/>
            </w:pBdr>
            <w:tabs>
              <w:tab w:val="center" w:pos="4680"/>
              <w:tab w:val="right" w:pos="9360"/>
            </w:tabs>
            <w:ind w:left="-115"/>
            <w:rPr>
              <w:color w:val="000000"/>
            </w:rPr>
          </w:pPr>
        </w:p>
      </w:tc>
      <w:tc>
        <w:tcPr>
          <w:tcW w:w="3005" w:type="dxa"/>
        </w:tcPr>
        <w:p w:rsidR="00F3758D" w:rsidRDefault="00F3758D" w14:paraId="5A39BBE3" wp14:textId="77777777">
          <w:pPr>
            <w:pBdr>
              <w:top w:val="nil"/>
              <w:left w:val="nil"/>
              <w:bottom w:val="nil"/>
              <w:right w:val="nil"/>
              <w:between w:val="nil"/>
            </w:pBdr>
            <w:tabs>
              <w:tab w:val="center" w:pos="4680"/>
              <w:tab w:val="right" w:pos="9360"/>
            </w:tabs>
            <w:jc w:val="center"/>
            <w:rPr>
              <w:color w:val="000000"/>
            </w:rPr>
          </w:pPr>
        </w:p>
      </w:tc>
      <w:tc>
        <w:tcPr>
          <w:tcW w:w="3005" w:type="dxa"/>
        </w:tcPr>
        <w:p w:rsidR="00F3758D" w:rsidRDefault="00F3758D" w14:paraId="41C8F396" wp14:textId="77777777">
          <w:pPr>
            <w:pBdr>
              <w:top w:val="nil"/>
              <w:left w:val="nil"/>
              <w:bottom w:val="nil"/>
              <w:right w:val="nil"/>
              <w:between w:val="nil"/>
            </w:pBdr>
            <w:tabs>
              <w:tab w:val="center" w:pos="4680"/>
              <w:tab w:val="right" w:pos="9360"/>
            </w:tabs>
            <w:ind w:right="-115"/>
            <w:jc w:val="right"/>
            <w:rPr>
              <w:color w:val="000000"/>
            </w:rPr>
          </w:pPr>
        </w:p>
      </w:tc>
    </w:tr>
  </w:tbl>
  <w:p xmlns:wp14="http://schemas.microsoft.com/office/word/2010/wordml" w:rsidR="00F3758D" w:rsidRDefault="00F3758D" w14:paraId="72A3D3EC"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564129" w:rsidRDefault="00564129" w14:paraId="049F31CB" wp14:textId="77777777">
      <w:pPr>
        <w:spacing w:after="0" w:line="240" w:lineRule="auto"/>
      </w:pPr>
      <w:r>
        <w:separator/>
      </w:r>
    </w:p>
  </w:footnote>
  <w:footnote w:type="continuationSeparator" w:id="0">
    <w:p xmlns:wp14="http://schemas.microsoft.com/office/word/2010/wordml" w:rsidR="00564129" w:rsidRDefault="00564129"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F3758D" w:rsidRDefault="00F3758D" w14:paraId="60061E4C" wp14:textId="77777777">
    <w:pPr>
      <w:widowControl w:val="0"/>
      <w:pBdr>
        <w:top w:val="nil"/>
        <w:left w:val="nil"/>
        <w:bottom w:val="nil"/>
        <w:right w:val="nil"/>
        <w:between w:val="nil"/>
      </w:pBdr>
      <w:spacing w:after="0" w:line="276" w:lineRule="auto"/>
    </w:pPr>
  </w:p>
  <w:tbl>
    <w:tblPr>
      <w:tblStyle w:val="a"/>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xmlns:wp14="http://schemas.microsoft.com/office/word/2010/wordml" w:rsidR="00F3758D" w14:paraId="44EAFD9C" wp14:textId="77777777">
      <w:trPr>
        <w:trHeight w:val="300"/>
      </w:trPr>
      <w:tc>
        <w:tcPr>
          <w:tcW w:w="3005" w:type="dxa"/>
        </w:tcPr>
        <w:p w:rsidR="00F3758D" w:rsidRDefault="00564129" w14:paraId="4B94D5A5" wp14:textId="77777777">
          <w:pPr>
            <w:pBdr>
              <w:top w:val="nil"/>
              <w:left w:val="nil"/>
              <w:bottom w:val="nil"/>
              <w:right w:val="nil"/>
              <w:between w:val="nil"/>
            </w:pBdr>
            <w:tabs>
              <w:tab w:val="center" w:pos="4680"/>
              <w:tab w:val="right" w:pos="9360"/>
            </w:tabs>
            <w:ind w:left="-115"/>
            <w:rPr>
              <w:color w:val="000000"/>
            </w:rPr>
          </w:pPr>
          <w:r>
            <w:rPr>
              <w:noProof/>
              <w:color w:val="000000"/>
            </w:rPr>
            <w:drawing>
              <wp:inline xmlns:wp14="http://schemas.microsoft.com/office/word/2010/wordprocessingDrawing" distT="0" distB="0" distL="114300" distR="114300" wp14:anchorId="29244F2D" wp14:editId="7777777">
                <wp:extent cx="1685925" cy="295275"/>
                <wp:effectExtent l="0" t="0" r="0" b="0"/>
                <wp:docPr id="12300583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295275"/>
                        </a:xfrm>
                        <a:prstGeom prst="rect">
                          <a:avLst/>
                        </a:prstGeom>
                        <a:ln/>
                      </pic:spPr>
                    </pic:pic>
                  </a:graphicData>
                </a:graphic>
              </wp:inline>
            </w:drawing>
          </w:r>
          <w:r>
            <w:rPr>
              <w:color w:val="000000"/>
            </w:rPr>
            <w:br/>
          </w:r>
        </w:p>
      </w:tc>
      <w:tc>
        <w:tcPr>
          <w:tcW w:w="3005" w:type="dxa"/>
        </w:tcPr>
        <w:p w:rsidR="00F3758D" w:rsidRDefault="00F3758D" w14:paraId="3DEEC669" wp14:textId="77777777">
          <w:pPr>
            <w:pBdr>
              <w:top w:val="nil"/>
              <w:left w:val="nil"/>
              <w:bottom w:val="nil"/>
              <w:right w:val="nil"/>
              <w:between w:val="nil"/>
            </w:pBdr>
            <w:tabs>
              <w:tab w:val="center" w:pos="4680"/>
              <w:tab w:val="right" w:pos="9360"/>
            </w:tabs>
            <w:jc w:val="center"/>
            <w:rPr>
              <w:color w:val="000000"/>
            </w:rPr>
          </w:pPr>
        </w:p>
      </w:tc>
      <w:tc>
        <w:tcPr>
          <w:tcW w:w="3005" w:type="dxa"/>
        </w:tcPr>
        <w:p w:rsidR="00F3758D" w:rsidRDefault="00F3758D" w14:paraId="3656B9AB" wp14:textId="77777777">
          <w:pPr>
            <w:pBdr>
              <w:top w:val="nil"/>
              <w:left w:val="nil"/>
              <w:bottom w:val="nil"/>
              <w:right w:val="nil"/>
              <w:between w:val="nil"/>
            </w:pBdr>
            <w:tabs>
              <w:tab w:val="center" w:pos="4680"/>
              <w:tab w:val="right" w:pos="9360"/>
            </w:tabs>
            <w:ind w:right="-115"/>
            <w:jc w:val="right"/>
            <w:rPr>
              <w:color w:val="000000"/>
            </w:rPr>
          </w:pPr>
        </w:p>
      </w:tc>
    </w:tr>
  </w:tbl>
  <w:p xmlns:wp14="http://schemas.microsoft.com/office/word/2010/wordml" w:rsidR="00F3758D" w:rsidRDefault="00F3758D" w14:paraId="45FB0818" wp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057E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36471980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8D"/>
    <w:rsid w:val="001B1C09"/>
    <w:rsid w:val="00564129"/>
    <w:rsid w:val="00F3758D"/>
    <w:rsid w:val="0B365198"/>
    <w:rsid w:val="13F656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23B2C2F"/>
  <w15:docId w15:val="{90AE5A04-E73D-4422-B41A-5480E27861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b.mx/cms/uploads/attachment/file/624795/Estudio_Credito.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google.com/url?q=https://planningquant.com/presentacion-de-resultados-cuesta-de-enero-2023-v1/&amp;sa=D&amp;source=docs&amp;ust=1736466818097546&amp;usg=AOvVaw0zuj5XLJFghAmjcpYtBSAj" TargetMode="Externa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www.anpec.com.mx/boletines/92VERDADEROSUPLICIOLACUESTADEENERO.pdf" TargetMode="External" Id="R1142e6b2128a4487" /><Relationship Type="http://schemas.openxmlformats.org/officeDocument/2006/relationships/hyperlink" Target="https://mexicocomovamos.mx/publicaciones/2024/11/inflacion-repunta-a-4-76-anual-en-octubre-tras-dos-meses-a-la-baja/" TargetMode="External" Id="R20ad389af3c24e85"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MYPuqli3aKjDQxvHzgk0/na3tg==">CgMxLjA4AHIhMXNENkR6VnNjSUNfaWFtMUpzVnB4cjFibW9hUEFTa0Rx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Omar Ortega Jaime</dc:creator>
  <lastModifiedBy>Tanya Belmont Osornio</lastModifiedBy>
  <revision>2</revision>
  <dcterms:created xsi:type="dcterms:W3CDTF">2025-01-14T00:26:00.0000000Z</dcterms:created>
  <dcterms:modified xsi:type="dcterms:W3CDTF">2025-01-14T19:07:29.7828868Z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